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90 vom 2. Februar 2022</w:t>
      </w:r>
    </w:p>
    <w:p>
      <w:r>
        <w:t>VS Kantonsgericht, 2022-02-02, FR</w:t>
      </w:r>
    </w:p>
    <w:p>
      <w:r>
        <w:rPr>
          <w:b/>
        </w:rPr>
        <w:t xml:space="preserve">Quelle: </w:t>
      </w:r>
      <w:r>
        <w:t>https://mcp.opencaselaw.ch/entscheid/vs_gerichte_P1 19 90</w:t>
      </w:r>
    </w:p>
    <w:p>
      <w:r>
        <w:t>FR: VS_GERICHTE P1 19 90 du 2 février 2022</w:t>
      </w:r>
    </w:p>
    <w:p>
      <w:r>
        <w:t>IT: VS_GERICHTE P1 19 90 del 2 febbraio 2022</w:t>
      </w:r>
    </w:p>
    <w:p>
      <w:pPr>
        <w:pStyle w:val="Heading2"/>
      </w:pPr>
      <w:r>
        <w:t>Regeste</w:t>
      </w:r>
    </w:p>
    <w:p>
      <w:r>
        <w:t>P1 19 90 JUGEMENT DU 2 FÉVRIER 2022 Cour pénale II Bertrand Dayer, juge ; Yves Burnier, greffier en la cause MINISTÈRE PUBLIC DU CANTON DU VALAIS, appelé, et X _________, partie plaignante appelée, représentée par Maître Inès Feldmann Wyler, contre Y _________, prévenu appelant, représenté par Maître Stéphanie Fumeaux, (recel [art. 160 CP]) appel contre le jugement du juge II du district de Sierre du 7 novembre 2019 (SIE P1 19 12)</w:t>
      </w:r>
    </w:p>
    <w:p>
      <w:pPr>
        <w:pStyle w:val="Heading2"/>
      </w:pPr>
      <w:r>
        <w:t>Erwägungen</w:t>
      </w:r>
    </w:p>
    <w:p>
      <w:r>
        <w:rPr>
          <w:b/>
        </w:rPr>
        <w:t>E. 6.1</w:t>
      </w:r>
    </w:p>
    <w:p>
      <w:r>
        <w:t>Aux termes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Le receleur encourra la peine prévue pour l’infraction préalable si cette peine est moins sévère (al. 2). Si l’infraction préalable est poursuivie sur plainte, le recel ne sera poursuivi que si cette plainte a été déposée (al. 3). Le premier juge a correctement exposé, au considérant 6.1 du jugement dont appel, les éléments constitutifs objectifs et subjectifs de cette infraction. Il suffit donc d’y renvoyer.</w:t>
      </w:r>
    </w:p>
    <w:p>
      <w:r>
        <w:rPr>
          <w:b/>
        </w:rPr>
        <w:t>E. 6.2</w:t>
      </w:r>
    </w:p>
    <w:p>
      <w:r>
        <w:t>Le 24 janvier 2017, dans le secteur de la zone de contrôle de sécurité des passagers et des bagages de l'aéroport de A _________, vers 10h, B _________ a remarqué la présence au sol de la montre de marque et modèle Rolex Oyster Perpetual Submariner, réf. xxx, no de série xxx, achetée 6000 fr. chez G _________ SA à H _________ par X _________ le 31 octobre 2009, que celle-ci avait par inadvertance laissé tomber après le portique de sécurité. B _________ a glissé la montre dans son sac à main à l'insu non seulement de sa fille D _________ qui l'accompagnait, mais également du personnel attaché à la surveillance. Plusieurs semaines après son retour en Suisse, elle l’a offerte en cadeau à son concubin C _________, qui l’a acceptée après avoir été informé par B _________ des circonstances dans lesquelles elle était entrée en possession de cet objet.</w:t>
      </w:r>
    </w:p>
    <w:p>
      <w:r>
        <w:t>- 19 - Dans le courant du printemps 2017, C _________ s’est rendu à la boutique de son ami Y _________, à I _________, afin de faire changer le bracelet de la montre précitée, lequel était trop étroit pour son poignet. A cette occasion, il a informé ce dernier que cet objet lui avait été offert par B _________ et que celle-ci l’avait trouvé par terre à l’aéroport de A _________ quelques semaines auparavant. Y _________ a remplacé sur-le-champ le bracelet d’origine de la montre par un bracelet métallique. Par ailleurs, le 13 septembre 2017, lorsque les policiers se sont présentés à son magasin pour se faire remettre le bracelet d’origine de la montre, il leur a affirmé ne plus le détenir et s’en être débarrassé, alors qu'en réalité, il l'avait conservé par devers lui. Il a aussi menti à la police en déclarant avoir monté un bracelet en cuir sur ladite montre et que celle-ci était une contrefaçon, quand bien même, de par sa formation professionnelle et ses quelque 50 années d’expérience dans la branche horlogère, il ne pouvait ignorer qu’il s’agissait d’une authentique Rolex. En agissant de la sorte, l’appelant a compliqué l’identification par la police de la montre que B _________ s’était appropriée illégitimement et a entravé la restitution du bracelet d’origine à son ayant droit X _________. Dans la mesure où il avait été informé par C _________ des circonstances dans lesquelles B _________ était entrée en possession de ladite montre, l’intéressé devait à tout le moins présumer que cet objet avait été acquis par la prénommée au moyen d’une infraction contre le patrimoine. Peu importe qu’il n’ait (éventuellement) pas agi dans le dessein de favoriser C _________ ou de s’enrichir personnellement (cf. ATF 90 IV 14 consid. 3a ; WEISSENBERGER, Basler Kommentar, 4e éd., 2019, n. 67 ad art. 160 CP). Son comportement entre donc dans les prévisions de l’art. 160 ch. 1 CP, étant précisé que la plainte portée par X _________ contre inconnu (cf. ATF 142 IV 129 consid. 4.3 ; VILLARD, Commentaire romand, 2e éd., 2021, n. 9 ad art. 31 CP), le 24 janvier 2017, l’a manifestement été dans le délai péremptoire de trois mois prévu par l’art. 31 CP (art. 137 ch. 2 et 160 ch. 1 al. 3 CP).</w:t>
      </w:r>
    </w:p>
    <w:p>
      <w:r>
        <w:rPr>
          <w:b/>
        </w:rPr>
        <w:t>E. 7.1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Pour déterminer quel est le droit le plus favorable, il y a lieu d'examiner l'ancien et le nouveau</w:t>
      </w:r>
    </w:p>
    <w:p>
      <w:r>
        <w:t>- 20 - droit dans leur ensemble et de comparer les résultats auxquels ils conduisent dans le cas concret.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147 IV 241 consid. 4.2.2).</w:t>
      </w:r>
    </w:p>
    <w:p>
      <w:r>
        <w:rPr>
          <w:b/>
        </w:rPr>
        <w:t>E. 7.2</w:t>
      </w:r>
    </w:p>
    <w:p>
      <w:r>
        <w:t>Le 1er janvier 2018, est entrée en vigueur la novelle du 19 juin 2015 portant réforme du droit des sanctions (RO 2016 p. 1249 ss). Le nouveau droit introduit notamment, s’agissant de la peine pécuniaire, un taux plancher de trois jours-amende (art. 34 al. 1 CP) et un plafond de 180 jours-amende (contre 360 jours-amende sous l’empire de l’ancien droit ; art. 34 al. 1 aCP), et, pour la peine privative de liberté, une durée minimale (sauf en cas de conversion) de trois jours (art. 40 al. 1 CP). Alors que, sous l’empire de l’ancien droit, le montant minimal du jour-amende avait été fixé à 10 fr. (ATF 135 IV 180 consid. 4.1), la novelle du 19 juin 2015 l’a porté à 30 fr., le juge ayant la possibilité exceptionnelle, « si la situation personnelle et économique de l’auteur l’exige », de le réduire jusqu’à 10 fr. (art. 34 al. 2 CP). En outre, l’art. 42 al. 4 CP ne permet plus de prononcer, en sus d’une peine avec sursis, une peine pécuniaire ferme, mais seulement une amende.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 RPS 5/2017, p. 326). Au vu de ce qui précède et compte tenu des peines qui doivent être infligées au prévenu (cf., ci-après, consid. 8.3), le nouveau droit ne constitue pas, en l’occurrence, une lex mitior (ATF 147 IV 241 consid. 4.3.2), si bien que le juge de céans fera application du droit des sanctions en vigueur à la date des faits sous examen.</w:t>
      </w:r>
    </w:p>
    <w:p>
      <w:r>
        <w:rPr>
          <w:b/>
        </w:rPr>
        <w:t>E. 8.1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w:t>
      </w:r>
    </w:p>
    <w:p>
      <w:r>
        <w:t>- 21 -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 Dans sa décision, le juge doit exposer les éléments essentiels - relatifs à l'acte et à l'auteur - qu'il prend en compte (art. 50 CP). De jurisprudence constante, le droit de ne pas s'auto-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6B_857/2013 du 7 mars 2014 consid. 6.3 et les réf.).</w:t>
      </w:r>
    </w:p>
    <w:p>
      <w:r>
        <w:rPr>
          <w:b/>
        </w:rPr>
        <w:t>E. 8.2.1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III 313 consid. 1.1.1 et les réf.). En vertu de l’art. 34 al. 1 aCP, sauf disposition contraire, la peine pécuniaire ne peut excéder 360 jours-amende. Le juge fixe leur nombre en fonction de la culpabilité de l'auteur.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t>- 22 -</w:t>
      </w:r>
    </w:p>
    <w:p>
      <w:r>
        <w:rPr>
          <w:b/>
        </w:rPr>
        <w:t>E. 8.2.2</w:t>
      </w:r>
    </w:p>
    <w:p>
      <w:r>
        <w:t>L'art. 42 al. 4 aCP permet au juge de prononcer, en plus d'une peine avec sursis, une peine pécuniaire sans sursis ou une amende conformément à l'art. 106 CP. Sauf disposition contraire de la loi, le montant maximum de l'amende est de 10'000 fr. (art. 106 al. 1 CP). La combinaison prévue par l'art. 42 al. 4 (a)CP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(a)CP constitue un « sursis qualitativement partiel » (arrêt 6B_1231/2020 du 12 mai 2021 consid. 1.6.2 et les réf. citées)</w:t>
      </w:r>
    </w:p>
    <w:p>
      <w:r>
        <w:rPr>
          <w:b/>
        </w:rPr>
        <w:t>E. 8.3</w:t>
      </w:r>
    </w:p>
    <w:p>
      <w:r>
        <w:t>Agé actuellement de 71 ans, le prévenu est marié et père de deux filles majeures. Sa faute ne saurait être minimisée. Graveur-bijoutier professionnel disposant, à l’époque des faits, d’une expérience de près de 50 années dans cette branche, il a accepté sans sourciller, à la demande de C _________, de remplacer le bracelet de la montre appartenant à X _________, alors même que celui-ci l’avait informé des circonstances dans lesquelles B _________ s’était approprié cet objet et qu’il ne pouvait ignorer qu’il s’agissait d’une authentique Rolex. S’il n’a, apparemment, pas agi par appât du gain, son comportement en procédure a été particulièrement critiquable. Il a en effet multiplié les déclarations controuvées et fantaisistes. Il a persisté à nier, jusque devant le Tribunal cantonal, avoir eu connaissance, lors de la pose du bracelet, des circonstances de la découverte de la montre et à prétendre, en dépit de l’évidence, que celle-ci était une contrefaçon. Il a même tenté de faire accroire que la montre remise par B _________ à la police n’était pas celle dont C _________ lui avait demandé de remplacer le bracelet. A aucun moment, il n’a exprimé le moindre regret. Pareille attitude dénote une absence totale de prise de conscience de la faute commise. Le prévenu ne bénéficie d’aucune circonstance atténuante. Il ne figure pas au casier judiciaire central, ce qui a un effet neutre sur la mesure de la peine (ATF 141 IV 61 consid. 6.3.2). Il encourrait une peine privative de liberté de trois ans au plus (cf. art. 137 ch. 1 et 160 ch. 1 al. 2 CP) Au vu de ces éléments, le juge de céans estime qu’une peine pécuniaire d’au moins 40 jours-amende serait nécessaire à sanctionner le comportement délictueux du</w:t>
      </w:r>
    </w:p>
    <w:p>
      <w:r>
        <w:t>- 23 - prévenu. La peine de 25 jours-amende infligée par le premier magistrat sera donc confirmée céans (art. 391 al. 2 CPP). Celui-ci a arrêté à 65 fr. la quotité du jour-amende, calculée sur la base d’un disponible mensuel de 2010 fr. (montant arrondi), en déduisant - à tort - du revenu de l’intéressé le « minimum vital du couple » (1700 fr.). L’appelant n’a pas contesté, à titre subsidiaire, ladite quotité, de sorte qu’elle peut, elle aussi, être confirmée. Le principe de l’interdiction de la reformatio in peius (art. 391 al. 2 CPP) commande également de confirmer l’octroi du sursis (complet) à l’exécution de la peine pécuniaire et la fixation d’un délai d’épreuve de deux ans (art. 44 al. 1 CP). Le prévenu est au surplus rendu expressément attentif que, s’il commet un crime ou un délit durant ce délai et que son comportement dénote un risque de le voir perpétrer de nouvelles infractions, le sursis pourra être révoqué et la peine mise à exécution (art. 44 al. 3 CP et 46 al. 1 aCP). Compte tenu de son absence totale de contrition, il convient de lui infliger, en sus, une amende (art. 42 al. 4 aCP), dont le montant, fixé à 300 fr. par le premier juge et non remis en cause, doit être confirmé. En cas de non-paiement fautif, elle sera convertie en trois jours de peine privative de liberté (art. 106 al. 2 CP).</w:t>
      </w:r>
    </w:p>
    <w:p>
      <w:r>
        <w:rPr>
          <w:b/>
        </w:rPr>
        <w:t>E. 9</w:t>
      </w:r>
    </w:p>
    <w:p>
      <w:r>
        <w:t>X _________ n’a pas déposé de déclaration d’appel, ni ne s’est jointe à l’appel du prévenu, de sorte que le rejet de ses prétentions civiles ne peut qu’être confirmé.</w:t>
      </w:r>
    </w:p>
    <w:p>
      <w:r>
        <w:rPr>
          <w:b/>
        </w:rPr>
        <w:t>E. 10.1</w:t>
      </w:r>
    </w:p>
    <w:p>
      <w:r>
        <w:t>Il n’y a pas lieu de rediscuter la quotité - non contestée - des frais du ministère public (1099 fr.) et du tribunal de district (600 fr.), non plus que leur répartition (art. 418 et 426 al. 1 CPP). Il en va de même de l’indemnité de 6000 fr. allouée à X _________ par la juge de district sur le fondement de l’art. 433 al. 1 CPP et mise solidairement à la charge des prévenus condamnés.</w:t>
      </w:r>
    </w:p>
    <w:p>
      <w:r>
        <w:rPr>
          <w:b/>
        </w:rPr>
        <w:t>E. 10.2</w:t>
      </w:r>
    </w:p>
    <w:p>
      <w:r>
        <w:t>Les frais de la procédure de recours sont mis à la charge des parties dans la mesure où elles ont obtenu gain de cause ou succombé (art. 428 al. 1 CPP). Pour la procédure</w:t>
      </w:r>
    </w:p>
    <w:p>
      <w:r>
        <w:t>- 24 - d'appel devant le Tribunal cantonal, l'émolument est compris entre 380 fr. et 6000 fr. (art. 22 let. f LTar). Compte tenu du degré usuel de difficulté de la cause, de son ampleur, ainsi que des principes de la couverture des frais et de l'équivalence des prestations (art. 13 al. 1 et 2 LTar), les frais de seconde instance, y compris deux relatifs à l’ordonnance du 17 novembre 2021, sont arrêtés à 1200 fr. (dont 25 fr. pour les services d’un huissier ; art. 10 al. 2 LTar). Ils doivent être supportés par l’appelant qui succombe intégralement.</w:t>
      </w:r>
    </w:p>
    <w:p>
      <w:r>
        <w:rPr>
          <w:b/>
        </w:rPr>
        <w:t>E. 10.3</w:t>
      </w:r>
    </w:p>
    <w:p>
      <w:r>
        <w:t>Suivant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 elle doit les chiffrer et les justifier. Si elle ne s’acquitte pas de cette obligation, l’autorité pénale n’entre pas en matière sur la demande (art. 433 al. 2 CPP). Nonobstant l'absence de maxime d'instruction, le juge doit rendre attentive la partie plaignante à son droit d'obtenir, le cas échéant, une indemnité au sens de l'art. 433 CPP, comme à son devoir de chiffrer et documenter celle-ci (arrêt 6B_818/2018 du 4 octobre 2018 consid. 4.1 et les réf. citées). Lors des débats d’appel du 22 novembre 2021, la mandataire de X _________ (Me Inès Feldmann Wyler) a conclu « au rejet de l’appel, à la confirmation des dépens de première instance et à l’allocation de dépens de seconde instance à dire de justice ». Pourtant interpellée à ce propos par le juge de céans, Me Feldmann Wyler Wyler n’a pas estimé devoir chiffrer ces derniers. Par conséquent, aucune indemnité ne peut être allouée à X _________ sur le fondement de l’art. 433 CPP pour la procédure d’appel.</w:t>
      </w:r>
    </w:p>
    <w:p>
      <w:r>
        <w:rPr>
          <w:b/>
        </w:rPr>
        <w:t>E. 10.4</w:t>
      </w:r>
    </w:p>
    <w:p>
      <w:r>
        <w:t>Y _________ supporte ses propres frais d’intervention en seconde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